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600" w:lineRule="exact"/>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lang w:val="en-US" w:eastAsia="zh-CN"/>
        </w:rPr>
        <w:t>辽宁省</w:t>
      </w:r>
      <w:r>
        <w:rPr>
          <w:rFonts w:hint="eastAsia" w:ascii="方正小标宋简体" w:hAnsi="方正小标宋简体" w:eastAsia="方正小标宋简体" w:cs="方正小标宋简体"/>
          <w:sz w:val="44"/>
          <w:szCs w:val="44"/>
        </w:rPr>
        <w:t>统计领域基层政务公开标准指引</w:t>
      </w:r>
    </w:p>
    <w:p>
      <w:pPr>
        <w:pStyle w:val="5"/>
        <w:spacing w:before="0" w:beforeAutospacing="0" w:after="0" w:afterAutospacing="0" w:line="600" w:lineRule="exact"/>
        <w:ind w:firstLine="800" w:firstLineChars="200"/>
        <w:jc w:val="both"/>
        <w:rPr>
          <w:rFonts w:hint="eastAsia" w:ascii="方正小标宋_GBK" w:hAnsi="方正小标宋_GBK" w:eastAsia="方正小标宋_GBK" w:cs="方正小标宋_GBK"/>
          <w:sz w:val="40"/>
          <w:szCs w:val="40"/>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为深入贯彻《国务院办公厅关于全面推进基层政务公开标准化规范化工作的指导意见》精神，严格落实《国家统计局办公室关于印发〈统计领域基层政务公开标准指引〉的通知》要求，切实推进</w:t>
      </w:r>
      <w:r>
        <w:rPr>
          <w:rFonts w:hint="eastAsia" w:ascii="仿宋_GB2312" w:hAnsi="仿宋_GB2312" w:eastAsia="仿宋_GB2312" w:cs="仿宋_GB2312"/>
          <w:sz w:val="32"/>
          <w:szCs w:val="32"/>
          <w:lang w:eastAsia="zh-CN"/>
        </w:rPr>
        <w:t>辽宁省</w:t>
      </w:r>
      <w:r>
        <w:rPr>
          <w:rFonts w:hint="eastAsia" w:ascii="仿宋_GB2312" w:hAnsi="仿宋_GB2312" w:eastAsia="仿宋_GB2312" w:cs="仿宋_GB2312"/>
          <w:sz w:val="32"/>
          <w:szCs w:val="32"/>
        </w:rPr>
        <w:t>统计领域基层政务公开标准化规范化工作，进一步增强统计信息公开度和统计公开透明度，制定本指引。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以习近平新时代中国特色社会主义思想为指导，全面贯彻党中央、国务院关于政务公开的决策部署，认真落实</w:t>
      </w:r>
      <w:r>
        <w:rPr>
          <w:rFonts w:hint="eastAsia" w:ascii="仿宋_GB2312" w:hAnsi="仿宋_GB2312" w:eastAsia="仿宋_GB2312" w:cs="仿宋_GB2312"/>
          <w:sz w:val="32"/>
          <w:szCs w:val="32"/>
          <w:lang w:val="en-US" w:eastAsia="zh-CN"/>
        </w:rPr>
        <w:t>省委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省政府和</w:t>
      </w:r>
      <w:r>
        <w:rPr>
          <w:rFonts w:hint="eastAsia" w:ascii="仿宋_GB2312" w:hAnsi="仿宋_GB2312" w:eastAsia="仿宋_GB2312" w:cs="仿宋_GB2312"/>
          <w:sz w:val="32"/>
          <w:szCs w:val="32"/>
        </w:rPr>
        <w:t>国家统计局关于基层政务公开的有关要求，积极推进统计领域基层政务决策、执行、管理、服务、结果的标准化规范化公开，实现</w:t>
      </w:r>
      <w:r>
        <w:rPr>
          <w:rFonts w:hint="eastAsia" w:ascii="仿宋_GB2312" w:hAnsi="仿宋_GB2312" w:eastAsia="仿宋_GB2312" w:cs="仿宋_GB2312"/>
          <w:sz w:val="32"/>
          <w:szCs w:val="32"/>
          <w:lang w:val="en-US" w:eastAsia="zh-CN"/>
        </w:rPr>
        <w:t>全省</w:t>
      </w:r>
      <w:r>
        <w:rPr>
          <w:rFonts w:hint="eastAsia" w:ascii="仿宋_GB2312" w:hAnsi="仿宋_GB2312" w:eastAsia="仿宋_GB2312" w:cs="仿宋_GB2312"/>
          <w:sz w:val="32"/>
          <w:szCs w:val="32"/>
        </w:rPr>
        <w:t>统计领域基层政务公开内容覆盖权力运行全流程、政务服务全过程，全面提升政务公开和政务服务水平。</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二、适用范围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本指引</w:t>
      </w:r>
      <w:r>
        <w:rPr>
          <w:rFonts w:hint="eastAsia" w:ascii="仿宋_GB2312" w:hAnsi="仿宋_GB2312" w:eastAsia="仿宋_GB2312" w:cs="仿宋_GB2312"/>
          <w:sz w:val="32"/>
          <w:szCs w:val="32"/>
        </w:rPr>
        <w:t>适用于</w:t>
      </w:r>
      <w:r>
        <w:rPr>
          <w:rFonts w:hint="eastAsia" w:ascii="仿宋_GB2312" w:hAnsi="仿宋_GB2312" w:eastAsia="仿宋_GB2312" w:cs="仿宋_GB2312"/>
          <w:sz w:val="32"/>
          <w:szCs w:val="32"/>
          <w:lang w:val="en-US" w:eastAsia="zh-CN"/>
        </w:rPr>
        <w:t>全省各县（市、区）统计局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以下</w:t>
      </w:r>
      <w:r>
        <w:rPr>
          <w:rFonts w:hint="eastAsia" w:ascii="仿宋_GB2312" w:hAnsi="仿宋_GB2312" w:eastAsia="仿宋_GB2312" w:cs="仿宋_GB2312"/>
          <w:sz w:val="32"/>
          <w:szCs w:val="32"/>
        </w:rPr>
        <w:t>称各</w:t>
      </w:r>
      <w:r>
        <w:rPr>
          <w:rFonts w:hint="eastAsia" w:ascii="仿宋_GB2312" w:hAnsi="仿宋_GB2312" w:eastAsia="仿宋_GB2312" w:cs="仿宋_GB2312"/>
          <w:sz w:val="32"/>
          <w:szCs w:val="32"/>
          <w:lang w:val="en-US" w:eastAsia="zh-CN"/>
        </w:rPr>
        <w:t>县级统计机构</w:t>
      </w:r>
      <w:r>
        <w:rPr>
          <w:rFonts w:hint="eastAsia" w:ascii="仿宋_GB2312" w:hAnsi="仿宋_GB2312" w:eastAsia="仿宋_GB2312" w:cs="仿宋_GB2312"/>
          <w:sz w:val="32"/>
          <w:szCs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三、公开目录及事项标准</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辽宁省</w:t>
      </w:r>
      <w:r>
        <w:rPr>
          <w:rFonts w:hint="eastAsia" w:ascii="仿宋_GB2312" w:hAnsi="仿宋_GB2312" w:eastAsia="仿宋_GB2312" w:cs="仿宋_GB2312"/>
          <w:sz w:val="32"/>
          <w:szCs w:val="32"/>
        </w:rPr>
        <w:t>统计领域基层政务公开标准目录》（见附件）包含统计法律规范、统计调查制度、统计数据、统计执法监督等4类一级事项9类二级事项。涉及公开内容（要素）、公开依据、公开时限、公开主体、公开渠道和载体、公开对象、公开方式和公开层级等标准。各</w:t>
      </w:r>
      <w:r>
        <w:rPr>
          <w:rFonts w:hint="eastAsia" w:ascii="仿宋_GB2312" w:hAnsi="仿宋_GB2312" w:eastAsia="仿宋_GB2312" w:cs="仿宋_GB2312"/>
          <w:sz w:val="32"/>
          <w:szCs w:val="32"/>
          <w:lang w:val="en-US" w:eastAsia="zh-CN"/>
        </w:rPr>
        <w:t>县级统计机构</w:t>
      </w:r>
      <w:r>
        <w:rPr>
          <w:rFonts w:hint="eastAsia" w:ascii="仿宋_GB2312" w:hAnsi="仿宋_GB2312" w:eastAsia="仿宋_GB2312" w:cs="仿宋_GB2312"/>
          <w:sz w:val="32"/>
          <w:szCs w:val="32"/>
        </w:rPr>
        <w:t>可根据</w:t>
      </w:r>
      <w:r>
        <w:rPr>
          <w:rFonts w:hint="eastAsia" w:ascii="仿宋_GB2312" w:hAnsi="仿宋_GB2312" w:eastAsia="仿宋_GB2312" w:cs="仿宋_GB2312"/>
          <w:sz w:val="32"/>
          <w:szCs w:val="32"/>
          <w:lang w:val="en-US" w:eastAsia="zh-CN"/>
        </w:rPr>
        <w:t>本地区</w:t>
      </w:r>
      <w:r>
        <w:rPr>
          <w:rFonts w:hint="eastAsia" w:ascii="仿宋_GB2312" w:hAnsi="仿宋_GB2312" w:eastAsia="仿宋_GB2312" w:cs="仿宋_GB2312"/>
          <w:sz w:val="32"/>
          <w:szCs w:val="32"/>
        </w:rPr>
        <w:t>实际情况，</w:t>
      </w:r>
      <w:r>
        <w:rPr>
          <w:rFonts w:hint="eastAsia" w:ascii="仿宋_GB2312" w:hAnsi="仿宋_GB2312" w:eastAsia="仿宋_GB2312" w:cs="仿宋_GB2312"/>
          <w:sz w:val="32"/>
          <w:szCs w:val="32"/>
          <w:lang w:val="en-US" w:eastAsia="zh-CN"/>
        </w:rPr>
        <w:t>在框架内</w:t>
      </w:r>
      <w:r>
        <w:rPr>
          <w:rFonts w:hint="eastAsia" w:ascii="仿宋_GB2312" w:hAnsi="仿宋_GB2312" w:eastAsia="仿宋_GB2312" w:cs="仿宋_GB2312"/>
          <w:sz w:val="32"/>
          <w:szCs w:val="32"/>
        </w:rPr>
        <w:t>适当进行</w:t>
      </w:r>
      <w:r>
        <w:rPr>
          <w:rFonts w:hint="eastAsia" w:ascii="仿宋_GB2312" w:hAnsi="仿宋_GB2312" w:eastAsia="仿宋_GB2312" w:cs="仿宋_GB2312"/>
          <w:sz w:val="32"/>
          <w:szCs w:val="32"/>
          <w:lang w:val="en-US" w:eastAsia="zh-CN"/>
        </w:rPr>
        <w:t>补充和</w:t>
      </w:r>
      <w:r>
        <w:rPr>
          <w:rFonts w:hint="eastAsia" w:ascii="仿宋_GB2312" w:hAnsi="仿宋_GB2312" w:eastAsia="仿宋_GB2312" w:cs="仿宋_GB2312"/>
          <w:sz w:val="32"/>
          <w:szCs w:val="32"/>
        </w:rPr>
        <w:t>调整。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四、工作要求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建立</w:t>
      </w:r>
      <w:r>
        <w:rPr>
          <w:rFonts w:hint="eastAsia" w:ascii="仿宋_GB2312" w:hAnsi="仿宋_GB2312" w:eastAsia="仿宋_GB2312" w:cs="仿宋_GB2312"/>
          <w:sz w:val="32"/>
          <w:szCs w:val="32"/>
        </w:rPr>
        <w:t>健全工作机制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县级统计机构要建立健全</w:t>
      </w:r>
      <w:r>
        <w:rPr>
          <w:rFonts w:hint="eastAsia" w:ascii="仿宋_GB2312" w:hAnsi="仿宋_GB2312" w:eastAsia="仿宋_GB2312" w:cs="仿宋_GB2312"/>
          <w:sz w:val="32"/>
          <w:szCs w:val="32"/>
        </w:rPr>
        <w:t>政务公开</w:t>
      </w:r>
      <w:r>
        <w:rPr>
          <w:rFonts w:hint="eastAsia" w:ascii="仿宋_GB2312" w:hAnsi="仿宋_GB2312" w:eastAsia="仿宋_GB2312" w:cs="仿宋_GB2312"/>
          <w:sz w:val="32"/>
          <w:szCs w:val="32"/>
          <w:lang w:val="en-US" w:eastAsia="zh-CN"/>
        </w:rPr>
        <w:t>工作机构，明确专人负责日常政务公开工作。要</w:t>
      </w:r>
      <w:r>
        <w:rPr>
          <w:rFonts w:hint="eastAsia" w:ascii="仿宋_GB2312" w:hAnsi="仿宋_GB2312" w:eastAsia="仿宋_GB2312" w:cs="仿宋_GB2312"/>
          <w:sz w:val="32"/>
          <w:szCs w:val="32"/>
        </w:rPr>
        <w:t>全面梳理和优化政务公开工作流程，不断提高统计领域基层政务公开标准化规范化水平。</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完善信息发布流程。在信息生成同时要明确“主动公开”“依申请公开”或“不公开”等公开属性，严格落实信息发布“</w:t>
      </w:r>
      <w:r>
        <w:rPr>
          <w:rFonts w:hint="eastAsia" w:ascii="仿宋_GB2312" w:hAnsi="仿宋_GB2312" w:eastAsia="仿宋_GB2312" w:cs="仿宋_GB2312"/>
          <w:sz w:val="32"/>
          <w:szCs w:val="32"/>
        </w:rPr>
        <w:t>三审三校”制度，对拟公开的政府信息严把政治关、法律关、政策关、保密关、文字关、舆情关，确保公开信息表述准确、时机得当。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优化信息公开渠道和载体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在依托政府门户网站集中公开的同时，</w:t>
      </w:r>
      <w:r>
        <w:rPr>
          <w:rFonts w:hint="eastAsia" w:ascii="仿宋_GB2312" w:hAnsi="仿宋_GB2312" w:eastAsia="仿宋_GB2312" w:cs="仿宋_GB2312"/>
          <w:sz w:val="32"/>
          <w:szCs w:val="32"/>
          <w:lang w:val="en-US" w:eastAsia="zh-CN"/>
        </w:rPr>
        <w:t>结合工作实际和群众需求，</w:t>
      </w:r>
      <w:r>
        <w:rPr>
          <w:rFonts w:hint="eastAsia" w:ascii="仿宋_GB2312" w:hAnsi="仿宋_GB2312" w:eastAsia="仿宋_GB2312" w:cs="仿宋_GB2312"/>
          <w:sz w:val="32"/>
          <w:szCs w:val="32"/>
        </w:rPr>
        <w:t>尝试通过多种渠道和载体发布信息。</w:t>
      </w:r>
      <w:r>
        <w:rPr>
          <w:rFonts w:hint="eastAsia" w:ascii="仿宋_GB2312" w:hAnsi="仿宋_GB2312" w:eastAsia="仿宋_GB2312" w:cs="仿宋_GB2312"/>
          <w:sz w:val="32"/>
          <w:szCs w:val="32"/>
          <w:lang w:val="en-US" w:eastAsia="zh-CN"/>
        </w:rPr>
        <w:t>倡导建立并规范使用政务新媒体，提高宣传的广泛性和有效性。</w:t>
      </w:r>
      <w:r>
        <w:rPr>
          <w:rFonts w:hint="eastAsia" w:ascii="仿宋_GB2312" w:hAnsi="仿宋_GB2312" w:eastAsia="仿宋_GB2312" w:cs="仿宋_GB2312"/>
          <w:sz w:val="32"/>
          <w:szCs w:val="32"/>
        </w:rPr>
        <w:t>建立</w:t>
      </w:r>
      <w:r>
        <w:rPr>
          <w:rFonts w:hint="eastAsia" w:ascii="仿宋_GB2312" w:hAnsi="仿宋_GB2312" w:eastAsia="仿宋_GB2312" w:cs="仿宋_GB2312"/>
          <w:sz w:val="32"/>
          <w:szCs w:val="32"/>
          <w:lang w:val="en-US" w:eastAsia="zh-CN"/>
        </w:rPr>
        <w:t>完善</w:t>
      </w:r>
      <w:r>
        <w:rPr>
          <w:rFonts w:hint="eastAsia" w:ascii="仿宋_GB2312" w:hAnsi="仿宋_GB2312" w:eastAsia="仿宋_GB2312" w:cs="仿宋_GB2312"/>
          <w:sz w:val="32"/>
          <w:szCs w:val="32"/>
        </w:rPr>
        <w:t>公开信息动态调整机制，加强日常维护和更新。</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五、其他事项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本指引由</w:t>
      </w:r>
      <w:r>
        <w:rPr>
          <w:rFonts w:hint="eastAsia" w:ascii="仿宋_GB2312" w:hAnsi="仿宋_GB2312" w:eastAsia="仿宋_GB2312" w:cs="仿宋_GB2312"/>
          <w:sz w:val="32"/>
          <w:szCs w:val="32"/>
          <w:lang w:eastAsia="zh-CN"/>
        </w:rPr>
        <w:t>辽宁省</w:t>
      </w:r>
      <w:r>
        <w:rPr>
          <w:rFonts w:hint="eastAsia" w:ascii="仿宋_GB2312" w:hAnsi="仿宋_GB2312" w:eastAsia="仿宋_GB2312" w:cs="仿宋_GB2312"/>
          <w:sz w:val="32"/>
          <w:szCs w:val="32"/>
        </w:rPr>
        <w:t>统计局办公室负责解释。</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辽宁省</w:t>
      </w:r>
      <w:r>
        <w:rPr>
          <w:rFonts w:hint="eastAsia" w:ascii="仿宋_GB2312" w:hAnsi="仿宋_GB2312" w:eastAsia="仿宋_GB2312" w:cs="仿宋_GB2312"/>
          <w:sz w:val="32"/>
          <w:szCs w:val="32"/>
        </w:rPr>
        <w:t>统计领域基层政务公开标准目录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sectPr>
          <w:headerReference r:id="rId3" w:type="default"/>
          <w:footerReference r:id="rId4" w:type="default"/>
          <w:footerReference r:id="rId5" w:type="even"/>
          <w:pgSz w:w="11907" w:h="16838"/>
          <w:pgMar w:top="1588" w:right="1531" w:bottom="1701" w:left="1531" w:header="851" w:footer="1361" w:gutter="0"/>
          <w:pgNumType w:fmt="numberInDash"/>
          <w:cols w:space="720" w:num="1"/>
          <w:docGrid w:linePitch="289" w:charSpace="-1308"/>
        </w:sectPr>
      </w:pPr>
    </w:p>
    <w:p>
      <w:pPr>
        <w:rPr>
          <w:rFonts w:hint="eastAsia" w:ascii="黑体" w:hAnsi="黑体" w:eastAsia="黑体" w:cs="黑体"/>
          <w:sz w:val="32"/>
          <w:szCs w:val="32"/>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黑体" w:hAnsi="黑体" w:eastAsia="黑体" w:cs="黑体"/>
          <w:sz w:val="32"/>
          <w:szCs w:val="32"/>
        </w:rPr>
      </w:pPr>
    </w:p>
    <w:p>
      <w:pPr>
        <w:jc w:val="center"/>
        <w:rPr>
          <w:rFonts w:hint="eastAsia" w:ascii="方正小标宋简体" w:hAnsi="方正小标宋简体" w:eastAsia="方正小标宋简体" w:cs="方正小标宋简体"/>
          <w:sz w:val="40"/>
        </w:rPr>
      </w:pPr>
      <w:r>
        <w:rPr>
          <w:rFonts w:hint="eastAsia" w:ascii="方正小标宋简体" w:hAnsi="方正小标宋简体" w:eastAsia="方正小标宋简体" w:cs="方正小标宋简体"/>
          <w:sz w:val="40"/>
          <w:lang w:eastAsia="zh-CN"/>
        </w:rPr>
        <w:t>辽宁省</w:t>
      </w:r>
      <w:r>
        <w:rPr>
          <w:rFonts w:hint="eastAsia" w:ascii="方正小标宋简体" w:hAnsi="方正小标宋简体" w:eastAsia="方正小标宋简体" w:cs="方正小标宋简体"/>
          <w:sz w:val="40"/>
        </w:rPr>
        <w:t>统计领域基层政务公开标准目录</w:t>
      </w:r>
    </w:p>
    <w:tbl>
      <w:tblPr>
        <w:tblStyle w:val="6"/>
        <w:tblW w:w="15242" w:type="dxa"/>
        <w:jc w:val="center"/>
        <w:tblLayout w:type="fixed"/>
        <w:tblCellMar>
          <w:top w:w="0" w:type="dxa"/>
          <w:left w:w="108" w:type="dxa"/>
          <w:bottom w:w="0" w:type="dxa"/>
          <w:right w:w="108" w:type="dxa"/>
        </w:tblCellMar>
      </w:tblPr>
      <w:tblGrid>
        <w:gridCol w:w="462"/>
        <w:gridCol w:w="769"/>
        <w:gridCol w:w="1012"/>
        <w:gridCol w:w="1658"/>
        <w:gridCol w:w="1965"/>
        <w:gridCol w:w="1335"/>
        <w:gridCol w:w="1365"/>
        <w:gridCol w:w="2678"/>
        <w:gridCol w:w="757"/>
        <w:gridCol w:w="600"/>
        <w:gridCol w:w="630"/>
        <w:gridCol w:w="781"/>
        <w:gridCol w:w="630"/>
        <w:gridCol w:w="600"/>
      </w:tblGrid>
      <w:tr>
        <w:tblPrEx>
          <w:tblCellMar>
            <w:top w:w="0" w:type="dxa"/>
            <w:left w:w="108" w:type="dxa"/>
            <w:bottom w:w="0" w:type="dxa"/>
            <w:right w:w="108" w:type="dxa"/>
          </w:tblCellMar>
        </w:tblPrEx>
        <w:trPr>
          <w:trHeight w:val="302" w:hRule="atLeast"/>
          <w:tblHeader/>
          <w:jc w:val="center"/>
        </w:trPr>
        <w:tc>
          <w:tcPr>
            <w:tcW w:w="46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ascii="黑体" w:hAnsi="黑体" w:eastAsia="黑体" w:cs="宋体"/>
                <w:color w:val="000000"/>
                <w:kern w:val="0"/>
                <w:sz w:val="18"/>
                <w:szCs w:val="20"/>
              </w:rPr>
            </w:pPr>
            <w:r>
              <w:rPr>
                <w:rFonts w:hint="eastAsia" w:ascii="黑体" w:hAnsi="黑体" w:eastAsia="黑体" w:cs="宋体"/>
                <w:color w:val="000000"/>
                <w:kern w:val="0"/>
                <w:sz w:val="18"/>
                <w:szCs w:val="20"/>
              </w:rPr>
              <w:t>序号</w:t>
            </w:r>
          </w:p>
        </w:tc>
        <w:tc>
          <w:tcPr>
            <w:tcW w:w="178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公开事项</w:t>
            </w:r>
          </w:p>
        </w:tc>
        <w:tc>
          <w:tcPr>
            <w:tcW w:w="165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公开内容（要素）</w:t>
            </w:r>
          </w:p>
        </w:tc>
        <w:tc>
          <w:tcPr>
            <w:tcW w:w="196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公开依据</w:t>
            </w:r>
          </w:p>
        </w:tc>
        <w:tc>
          <w:tcPr>
            <w:tcW w:w="13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公开时限</w:t>
            </w:r>
          </w:p>
        </w:tc>
        <w:tc>
          <w:tcPr>
            <w:tcW w:w="136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公开主体</w:t>
            </w:r>
          </w:p>
        </w:tc>
        <w:tc>
          <w:tcPr>
            <w:tcW w:w="26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公开渠道和载体</w:t>
            </w:r>
          </w:p>
        </w:tc>
        <w:tc>
          <w:tcPr>
            <w:tcW w:w="135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公开对象</w:t>
            </w:r>
          </w:p>
        </w:tc>
        <w:tc>
          <w:tcPr>
            <w:tcW w:w="14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公开方式</w:t>
            </w:r>
          </w:p>
        </w:tc>
        <w:tc>
          <w:tcPr>
            <w:tcW w:w="12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公开层级</w:t>
            </w:r>
          </w:p>
        </w:tc>
      </w:tr>
      <w:tr>
        <w:tblPrEx>
          <w:tblCellMar>
            <w:top w:w="0" w:type="dxa"/>
            <w:left w:w="108" w:type="dxa"/>
            <w:bottom w:w="0" w:type="dxa"/>
            <w:right w:w="108" w:type="dxa"/>
          </w:tblCellMar>
        </w:tblPrEx>
        <w:trPr>
          <w:trHeight w:val="465" w:hRule="atLeast"/>
          <w:tblHeader/>
          <w:jc w:val="center"/>
        </w:trPr>
        <w:tc>
          <w:tcPr>
            <w:tcW w:w="46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ascii="黑体" w:hAnsi="黑体" w:eastAsia="黑体" w:cs="宋体"/>
                <w:color w:val="000000"/>
                <w:kern w:val="0"/>
                <w:sz w:val="18"/>
                <w:szCs w:val="20"/>
              </w:rPr>
            </w:pP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一级</w:t>
            </w:r>
          </w:p>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事项</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二级事项</w:t>
            </w:r>
          </w:p>
        </w:tc>
        <w:tc>
          <w:tcPr>
            <w:tcW w:w="165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ascii="黑体" w:hAnsi="黑体" w:eastAsia="黑体" w:cs="宋体"/>
                <w:color w:val="000000"/>
                <w:kern w:val="0"/>
                <w:sz w:val="18"/>
                <w:szCs w:val="20"/>
              </w:rPr>
            </w:pPr>
          </w:p>
        </w:tc>
        <w:tc>
          <w:tcPr>
            <w:tcW w:w="19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ascii="黑体" w:hAnsi="黑体" w:eastAsia="黑体" w:cs="宋体"/>
                <w:color w:val="000000"/>
                <w:kern w:val="0"/>
                <w:sz w:val="18"/>
                <w:szCs w:val="20"/>
              </w:rPr>
            </w:pPr>
          </w:p>
        </w:tc>
        <w:tc>
          <w:tcPr>
            <w:tcW w:w="13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ascii="黑体" w:hAnsi="黑体" w:eastAsia="黑体" w:cs="宋体"/>
                <w:color w:val="000000"/>
                <w:kern w:val="0"/>
                <w:sz w:val="18"/>
                <w:szCs w:val="20"/>
              </w:rPr>
            </w:pPr>
          </w:p>
        </w:tc>
        <w:tc>
          <w:tcPr>
            <w:tcW w:w="13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ascii="黑体" w:hAnsi="黑体" w:eastAsia="黑体" w:cs="宋体"/>
                <w:color w:val="000000"/>
                <w:kern w:val="0"/>
                <w:sz w:val="18"/>
                <w:szCs w:val="20"/>
              </w:rPr>
            </w:pPr>
          </w:p>
        </w:tc>
        <w:tc>
          <w:tcPr>
            <w:tcW w:w="26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ascii="黑体" w:hAnsi="黑体" w:eastAsia="黑体" w:cs="宋体"/>
                <w:color w:val="000000"/>
                <w:kern w:val="0"/>
                <w:sz w:val="18"/>
                <w:szCs w:val="20"/>
              </w:rPr>
            </w:pP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全社会</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特定</w:t>
            </w:r>
          </w:p>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群体</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黑体" w:hAnsi="黑体" w:eastAsia="黑体" w:cs="宋体"/>
                <w:color w:val="000000"/>
                <w:kern w:val="0"/>
                <w:sz w:val="18"/>
                <w:szCs w:val="20"/>
                <w:lang w:eastAsia="zh-CN"/>
              </w:rPr>
            </w:pPr>
            <w:r>
              <w:rPr>
                <w:rFonts w:hint="eastAsia" w:ascii="黑体" w:hAnsi="黑体" w:eastAsia="黑体" w:cs="宋体"/>
                <w:color w:val="000000"/>
                <w:kern w:val="0"/>
                <w:sz w:val="18"/>
                <w:szCs w:val="20"/>
              </w:rPr>
              <w:t>主动</w:t>
            </w:r>
          </w:p>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黑体" w:hAnsi="黑体" w:eastAsia="黑体" w:cs="宋体"/>
                <w:color w:val="000000"/>
                <w:kern w:val="0"/>
                <w:sz w:val="18"/>
                <w:szCs w:val="20"/>
                <w:lang w:eastAsia="zh-CN"/>
              </w:rPr>
            </w:pPr>
            <w:r>
              <w:rPr>
                <w:rFonts w:hint="eastAsia" w:ascii="黑体" w:hAnsi="黑体" w:eastAsia="黑体" w:cs="宋体"/>
                <w:color w:val="000000"/>
                <w:kern w:val="0"/>
                <w:sz w:val="18"/>
                <w:szCs w:val="20"/>
              </w:rPr>
              <w:t>依申请</w:t>
            </w:r>
          </w:p>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黑体" w:hAnsi="黑体" w:eastAsia="黑体" w:cs="宋体"/>
                <w:color w:val="000000"/>
                <w:kern w:val="0"/>
                <w:sz w:val="18"/>
                <w:szCs w:val="20"/>
                <w:lang w:eastAsia="zh-CN"/>
              </w:rPr>
            </w:pPr>
            <w:r>
              <w:rPr>
                <w:rFonts w:hint="eastAsia" w:ascii="黑体" w:hAnsi="黑体" w:eastAsia="黑体" w:cs="宋体"/>
                <w:color w:val="000000"/>
                <w:kern w:val="0"/>
                <w:sz w:val="18"/>
                <w:szCs w:val="20"/>
                <w:lang w:val="en-US" w:eastAsia="zh-CN"/>
              </w:rPr>
              <w:t>县级</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ascii="黑体" w:hAnsi="黑体" w:eastAsia="黑体" w:cs="宋体"/>
                <w:color w:val="000000"/>
                <w:kern w:val="0"/>
                <w:sz w:val="18"/>
                <w:szCs w:val="20"/>
                <w:lang w:eastAsia="zh-CN"/>
              </w:rPr>
            </w:pPr>
            <w:r>
              <w:rPr>
                <w:rFonts w:hint="eastAsia" w:ascii="黑体" w:hAnsi="黑体" w:eastAsia="黑体" w:cs="宋体"/>
                <w:color w:val="000000"/>
                <w:kern w:val="0"/>
                <w:sz w:val="18"/>
                <w:szCs w:val="20"/>
              </w:rPr>
              <w:t>乡</w:t>
            </w:r>
            <w:r>
              <w:rPr>
                <w:rFonts w:hint="eastAsia" w:ascii="黑体" w:hAnsi="黑体" w:eastAsia="黑体" w:cs="宋体"/>
                <w:color w:val="000000"/>
                <w:kern w:val="0"/>
                <w:sz w:val="18"/>
                <w:szCs w:val="20"/>
                <w:lang w:val="en-US" w:eastAsia="zh-CN"/>
              </w:rPr>
              <w:t>级</w:t>
            </w:r>
          </w:p>
        </w:tc>
      </w:tr>
      <w:tr>
        <w:tblPrEx>
          <w:tblCellMar>
            <w:top w:w="0" w:type="dxa"/>
            <w:left w:w="108" w:type="dxa"/>
            <w:bottom w:w="0" w:type="dxa"/>
            <w:right w:w="108" w:type="dxa"/>
          </w:tblCellMar>
        </w:tblPrEx>
        <w:trPr>
          <w:trHeight w:val="2902"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20"/>
              </w:rPr>
            </w:pPr>
            <w:r>
              <w:rPr>
                <w:rFonts w:hint="eastAsia" w:ascii="宋体" w:hAnsi="宋体" w:cs="宋体"/>
                <w:color w:val="000000"/>
                <w:kern w:val="0"/>
                <w:sz w:val="18"/>
                <w:szCs w:val="20"/>
              </w:rPr>
              <w:t>1</w:t>
            </w:r>
          </w:p>
        </w:tc>
        <w:tc>
          <w:tcPr>
            <w:tcW w:w="76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统计法律规范</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eastAsia="宋体" w:cs="宋体"/>
                <w:color w:val="000000"/>
                <w:kern w:val="0"/>
                <w:sz w:val="18"/>
                <w:szCs w:val="20"/>
                <w:lang w:eastAsia="zh-CN"/>
              </w:rPr>
            </w:pPr>
            <w:r>
              <w:rPr>
                <w:rFonts w:hint="eastAsia" w:ascii="宋体" w:hAnsi="宋体" w:cs="宋体"/>
                <w:color w:val="000000"/>
                <w:kern w:val="0"/>
                <w:sz w:val="18"/>
                <w:szCs w:val="20"/>
              </w:rPr>
              <w:t>统计法律</w:t>
            </w:r>
          </w:p>
          <w:p>
            <w:pPr>
              <w:widowControl/>
              <w:spacing w:line="36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法规规章</w:t>
            </w:r>
          </w:p>
        </w:tc>
        <w:tc>
          <w:tcPr>
            <w:tcW w:w="16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统计领域相关法律、法规、规章</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《中华人民共和国统计法》《中华人民共和国政府信息公开条例》《中华人民共和国统计法实施条例》</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制定或获取信息之日起20个工作日内</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lang w:val="en-US" w:eastAsia="zh-CN"/>
              </w:rPr>
              <w:t>各县（市、区）统计局</w:t>
            </w:r>
          </w:p>
        </w:tc>
        <w:tc>
          <w:tcPr>
            <w:tcW w:w="26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■政府网站  ■政府公报</w:t>
            </w:r>
          </w:p>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■两微一端  □发布会/听证会   ■广播电视■纸质媒体           ■公开查阅点■政务服务中心</w:t>
            </w:r>
          </w:p>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■便民服务站■入户/现场</w:t>
            </w:r>
          </w:p>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□社区/企事业单位/村公示栏（电子屏）</w:t>
            </w:r>
          </w:p>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 xml:space="preserve">□精准推送  □其他    </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20"/>
              </w:rPr>
            </w:pPr>
            <w:r>
              <w:rPr>
                <w:rFonts w:hint="eastAsia" w:ascii="宋体" w:hAnsi="宋体" w:cs="宋体"/>
                <w:color w:val="000000"/>
                <w:kern w:val="0"/>
                <w:sz w:val="18"/>
                <w:szCs w:val="20"/>
              </w:rPr>
              <w:t>√</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20"/>
              </w:rPr>
            </w:pPr>
          </w:p>
        </w:tc>
      </w:tr>
      <w:tr>
        <w:tblPrEx>
          <w:tblCellMar>
            <w:top w:w="0" w:type="dxa"/>
            <w:left w:w="108" w:type="dxa"/>
            <w:bottom w:w="0" w:type="dxa"/>
            <w:right w:w="108" w:type="dxa"/>
          </w:tblCellMar>
        </w:tblPrEx>
        <w:trPr>
          <w:trHeight w:val="90"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20"/>
              </w:rPr>
            </w:pPr>
            <w:r>
              <w:rPr>
                <w:rFonts w:hint="eastAsia" w:ascii="宋体" w:hAnsi="宋体" w:cs="宋体"/>
                <w:color w:val="000000"/>
                <w:kern w:val="0"/>
                <w:sz w:val="18"/>
                <w:szCs w:val="20"/>
              </w:rPr>
              <w:t>2</w:t>
            </w:r>
          </w:p>
        </w:tc>
        <w:tc>
          <w:tcPr>
            <w:tcW w:w="76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ascii="宋体" w:hAnsi="宋体" w:cs="宋体"/>
                <w:color w:val="000000"/>
                <w:kern w:val="0"/>
                <w:sz w:val="18"/>
                <w:szCs w:val="20"/>
              </w:rPr>
            </w:pP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规范性</w:t>
            </w:r>
          </w:p>
          <w:p>
            <w:pPr>
              <w:widowControl/>
              <w:spacing w:line="36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文件</w:t>
            </w:r>
          </w:p>
        </w:tc>
        <w:tc>
          <w:tcPr>
            <w:tcW w:w="16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统计领域相关规范性文件</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《中华人民共和国统计法》《中华人民共和国政府信息公开条例》《中华人民共和国统计法实施条例》</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制定或获取信息之日起20个工作日内</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lang w:val="en-US" w:eastAsia="zh-CN"/>
              </w:rPr>
              <w:t>各县（市、区）统计局</w:t>
            </w:r>
          </w:p>
        </w:tc>
        <w:tc>
          <w:tcPr>
            <w:tcW w:w="26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■政府网站  ■政府公报</w:t>
            </w:r>
          </w:p>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■两微一端  □发布会/听证会   ■广播电视  ■纸质媒体           ■公开查阅点■政务服务中心</w:t>
            </w:r>
          </w:p>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■便民服务站■入户/现场</w:t>
            </w:r>
          </w:p>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□社区/企事业单位/村公示栏（电子屏）</w:t>
            </w:r>
          </w:p>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□精准推送  □其他</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20"/>
              </w:rPr>
            </w:pPr>
            <w:r>
              <w:rPr>
                <w:rFonts w:hint="eastAsia" w:ascii="宋体" w:hAnsi="宋体" w:cs="宋体"/>
                <w:color w:val="000000"/>
                <w:kern w:val="0"/>
                <w:sz w:val="18"/>
                <w:szCs w:val="20"/>
              </w:rPr>
              <w:t>√</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20"/>
              </w:rPr>
            </w:pPr>
          </w:p>
        </w:tc>
      </w:tr>
      <w:tr>
        <w:tblPrEx>
          <w:tblCellMar>
            <w:top w:w="0" w:type="dxa"/>
            <w:left w:w="108" w:type="dxa"/>
            <w:bottom w:w="0" w:type="dxa"/>
            <w:right w:w="108" w:type="dxa"/>
          </w:tblCellMar>
        </w:tblPrEx>
        <w:trPr>
          <w:trHeight w:val="3736"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20"/>
              </w:rPr>
            </w:pPr>
            <w:r>
              <w:rPr>
                <w:rFonts w:hint="eastAsia" w:ascii="宋体" w:hAnsi="宋体" w:cs="宋体"/>
                <w:color w:val="000000"/>
                <w:kern w:val="0"/>
                <w:sz w:val="18"/>
                <w:szCs w:val="20"/>
              </w:rPr>
              <w:t>3</w:t>
            </w:r>
          </w:p>
        </w:tc>
        <w:tc>
          <w:tcPr>
            <w:tcW w:w="76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统计调查制度</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eastAsia="宋体" w:cs="宋体"/>
                <w:color w:val="000000"/>
                <w:kern w:val="0"/>
                <w:sz w:val="18"/>
                <w:szCs w:val="20"/>
                <w:lang w:eastAsia="zh-CN"/>
              </w:rPr>
            </w:pPr>
            <w:r>
              <w:rPr>
                <w:rFonts w:hint="eastAsia" w:ascii="宋体" w:hAnsi="宋体" w:cs="宋体"/>
                <w:color w:val="000000"/>
                <w:kern w:val="0"/>
                <w:sz w:val="18"/>
                <w:szCs w:val="20"/>
              </w:rPr>
              <w:t>国家统计</w:t>
            </w:r>
          </w:p>
          <w:p>
            <w:pPr>
              <w:widowControl/>
              <w:spacing w:line="36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调查制度</w:t>
            </w:r>
          </w:p>
        </w:tc>
        <w:tc>
          <w:tcPr>
            <w:tcW w:w="16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开展统计调查工作中执行的国家统计调查制度的主要内容</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《中华人民共和国统计法》《中华人民共和国政府信息公开条例》《中华人民共和国统计法实施条例》</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实时更新</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lang w:val="en-US" w:eastAsia="zh-CN"/>
              </w:rPr>
              <w:t>各县（市、区）统计局</w:t>
            </w:r>
          </w:p>
        </w:tc>
        <w:tc>
          <w:tcPr>
            <w:tcW w:w="2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■政府网站  □政府公报</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■两微一端  □发布会/听证会   □广播电视  □纸质媒体           □公开查阅点■政务服务中心</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■便民服务站■入户/现场</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■社区/企事业单位/村公示栏（电子屏）</w:t>
            </w:r>
          </w:p>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 xml:space="preserve">□精准推送  □其他    </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20"/>
              </w:rPr>
            </w:pPr>
            <w:r>
              <w:rPr>
                <w:rFonts w:hint="eastAsia" w:ascii="宋体" w:hAnsi="宋体" w:cs="宋体"/>
                <w:color w:val="000000"/>
                <w:kern w:val="0"/>
                <w:sz w:val="18"/>
                <w:szCs w:val="20"/>
              </w:rPr>
              <w:t>√</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20"/>
              </w:rPr>
            </w:pPr>
          </w:p>
        </w:tc>
      </w:tr>
      <w:tr>
        <w:tblPrEx>
          <w:tblCellMar>
            <w:top w:w="0" w:type="dxa"/>
            <w:left w:w="108" w:type="dxa"/>
            <w:bottom w:w="0" w:type="dxa"/>
            <w:right w:w="108" w:type="dxa"/>
          </w:tblCellMar>
        </w:tblPrEx>
        <w:trPr>
          <w:trHeight w:val="90"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20"/>
              </w:rPr>
            </w:pPr>
            <w:r>
              <w:rPr>
                <w:rFonts w:hint="eastAsia" w:ascii="宋体" w:hAnsi="宋体" w:cs="宋体"/>
                <w:color w:val="000000"/>
                <w:kern w:val="0"/>
                <w:sz w:val="18"/>
                <w:szCs w:val="20"/>
              </w:rPr>
              <w:t>4</w:t>
            </w:r>
          </w:p>
        </w:tc>
        <w:tc>
          <w:tcPr>
            <w:tcW w:w="76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ascii="宋体" w:hAnsi="宋体" w:cs="宋体"/>
                <w:color w:val="000000"/>
                <w:kern w:val="0"/>
                <w:sz w:val="18"/>
                <w:szCs w:val="20"/>
              </w:rPr>
            </w:pP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eastAsia="宋体" w:cs="宋体"/>
                <w:color w:val="000000"/>
                <w:kern w:val="0"/>
                <w:sz w:val="18"/>
                <w:szCs w:val="20"/>
                <w:lang w:eastAsia="zh-CN"/>
              </w:rPr>
            </w:pPr>
            <w:r>
              <w:rPr>
                <w:rFonts w:hint="eastAsia" w:ascii="宋体" w:hAnsi="宋体" w:cs="宋体"/>
                <w:color w:val="000000"/>
                <w:kern w:val="0"/>
                <w:sz w:val="18"/>
                <w:szCs w:val="20"/>
              </w:rPr>
              <w:t>地方统计</w:t>
            </w:r>
          </w:p>
          <w:p>
            <w:pPr>
              <w:widowControl/>
              <w:spacing w:line="36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调查制度</w:t>
            </w:r>
          </w:p>
        </w:tc>
        <w:tc>
          <w:tcPr>
            <w:tcW w:w="16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开展统计调查工作中执行的地方统计调查制度的主要内容</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《中华人民共和国统计法》《中华人民共和国政府信息公开条例》《中华人民共和国统计法实施条例》</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实时更新</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lang w:val="en-US" w:eastAsia="zh-CN"/>
              </w:rPr>
              <w:t>各县（市、区）统计局</w:t>
            </w:r>
          </w:p>
        </w:tc>
        <w:tc>
          <w:tcPr>
            <w:tcW w:w="2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■政府网站  □政府公报</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■两微一端  □发布会/听证会   □广播电视  □纸质媒体           □公开查阅点■政务服务中心</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■便民服务站■入户/现场</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■社区/企事业单位/村公示栏（电子屏）</w:t>
            </w:r>
          </w:p>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 xml:space="preserve">□精准推送  □其他    </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20"/>
              </w:rPr>
            </w:pPr>
            <w:r>
              <w:rPr>
                <w:rFonts w:hint="eastAsia" w:ascii="宋体" w:hAnsi="宋体" w:cs="宋体"/>
                <w:color w:val="000000"/>
                <w:kern w:val="0"/>
                <w:sz w:val="18"/>
                <w:szCs w:val="20"/>
              </w:rPr>
              <w:t>√</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20"/>
              </w:rPr>
            </w:pPr>
          </w:p>
        </w:tc>
      </w:tr>
      <w:tr>
        <w:tblPrEx>
          <w:tblCellMar>
            <w:top w:w="0" w:type="dxa"/>
            <w:left w:w="108" w:type="dxa"/>
            <w:bottom w:w="0" w:type="dxa"/>
            <w:right w:w="108" w:type="dxa"/>
          </w:tblCellMar>
        </w:tblPrEx>
        <w:trPr>
          <w:trHeight w:val="3666"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20"/>
              </w:rPr>
            </w:pPr>
            <w:r>
              <w:rPr>
                <w:rFonts w:hint="eastAsia" w:ascii="宋体" w:hAnsi="宋体" w:cs="宋体"/>
                <w:color w:val="000000"/>
                <w:kern w:val="0"/>
                <w:sz w:val="18"/>
                <w:szCs w:val="20"/>
              </w:rPr>
              <w:t>5</w:t>
            </w:r>
          </w:p>
        </w:tc>
        <w:tc>
          <w:tcPr>
            <w:tcW w:w="76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统计</w:t>
            </w:r>
          </w:p>
          <w:p>
            <w:pPr>
              <w:widowControl/>
              <w:spacing w:line="36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数据</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数据发布</w:t>
            </w:r>
          </w:p>
        </w:tc>
        <w:tc>
          <w:tcPr>
            <w:tcW w:w="16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1.统计公报；</w:t>
            </w:r>
          </w:p>
          <w:p>
            <w:pPr>
              <w:widowControl/>
              <w:spacing w:line="360" w:lineRule="exact"/>
              <w:rPr>
                <w:rFonts w:hint="eastAsia" w:ascii="宋体" w:hAnsi="宋体" w:eastAsia="宋体" w:cs="宋体"/>
                <w:color w:val="000000"/>
                <w:kern w:val="0"/>
                <w:sz w:val="18"/>
                <w:szCs w:val="20"/>
                <w:lang w:eastAsia="zh-CN"/>
              </w:rPr>
            </w:pPr>
            <w:r>
              <w:rPr>
                <w:rFonts w:hint="eastAsia" w:ascii="宋体" w:hAnsi="宋体" w:cs="宋体"/>
                <w:color w:val="000000"/>
                <w:kern w:val="0"/>
                <w:sz w:val="18"/>
                <w:szCs w:val="20"/>
              </w:rPr>
              <w:t>2.统计年鉴；</w:t>
            </w:r>
          </w:p>
          <w:p>
            <w:pPr>
              <w:widowControl/>
              <w:spacing w:line="360" w:lineRule="exact"/>
              <w:rPr>
                <w:rFonts w:hint="eastAsia" w:ascii="宋体" w:hAnsi="宋体" w:eastAsia="宋体" w:cs="宋体"/>
                <w:color w:val="000000"/>
                <w:kern w:val="0"/>
                <w:sz w:val="18"/>
                <w:szCs w:val="20"/>
                <w:lang w:eastAsia="zh-CN"/>
              </w:rPr>
            </w:pPr>
            <w:r>
              <w:rPr>
                <w:rFonts w:hint="eastAsia" w:ascii="宋体" w:hAnsi="宋体" w:cs="宋体"/>
                <w:color w:val="000000"/>
                <w:kern w:val="0"/>
                <w:sz w:val="18"/>
                <w:szCs w:val="20"/>
              </w:rPr>
              <w:t>3.年度、季度、月度主要统计数据；</w:t>
            </w:r>
          </w:p>
          <w:p>
            <w:pPr>
              <w:widowControl/>
              <w:spacing w:line="360" w:lineRule="exact"/>
              <w:rPr>
                <w:rFonts w:hint="eastAsia" w:ascii="宋体" w:hAnsi="宋体" w:eastAsia="宋体" w:cs="宋体"/>
                <w:color w:val="000000"/>
                <w:kern w:val="0"/>
                <w:sz w:val="18"/>
                <w:szCs w:val="20"/>
                <w:lang w:eastAsia="zh-CN"/>
              </w:rPr>
            </w:pPr>
            <w:r>
              <w:rPr>
                <w:rFonts w:hint="eastAsia" w:ascii="宋体" w:hAnsi="宋体" w:cs="宋体"/>
                <w:color w:val="000000"/>
                <w:kern w:val="0"/>
                <w:sz w:val="18"/>
                <w:szCs w:val="20"/>
              </w:rPr>
              <w:t>4.重大国情国力普查数据；</w:t>
            </w:r>
          </w:p>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5.重要统计调查相关数据。</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《中华人民共和国统计法》《中华人民共和国政府信息公开条例》《中华人民共和国统计法实施条例》</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适时发布</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lang w:val="en-US" w:eastAsia="zh-CN"/>
              </w:rPr>
              <w:t>各县（市、区）统计局</w:t>
            </w:r>
          </w:p>
        </w:tc>
        <w:tc>
          <w:tcPr>
            <w:tcW w:w="2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■政府网站  ■政府公报</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■两微一端  ■发布会/听证会   ■广播电视  ■纸质媒体           ☑公开查阅点□政务服务中心</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□便民服务站□入户/现场</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□社区/企事业单位/村公示栏（电子屏）</w:t>
            </w:r>
          </w:p>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 xml:space="preserve">□精准推送  □其他    </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20"/>
              </w:rPr>
            </w:pPr>
            <w:r>
              <w:rPr>
                <w:rFonts w:hint="eastAsia" w:ascii="宋体" w:hAnsi="宋体" w:cs="宋体"/>
                <w:color w:val="000000"/>
                <w:kern w:val="0"/>
                <w:sz w:val="18"/>
                <w:szCs w:val="20"/>
              </w:rPr>
              <w:t>√</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20"/>
              </w:rPr>
            </w:pPr>
          </w:p>
        </w:tc>
      </w:tr>
      <w:tr>
        <w:tblPrEx>
          <w:tblCellMar>
            <w:top w:w="0" w:type="dxa"/>
            <w:left w:w="108" w:type="dxa"/>
            <w:bottom w:w="0" w:type="dxa"/>
            <w:right w:w="108" w:type="dxa"/>
          </w:tblCellMar>
        </w:tblPrEx>
        <w:trPr>
          <w:trHeight w:val="3786"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20"/>
              </w:rPr>
            </w:pPr>
            <w:r>
              <w:rPr>
                <w:rFonts w:hint="eastAsia" w:ascii="宋体" w:hAnsi="宋体" w:cs="宋体"/>
                <w:color w:val="000000"/>
                <w:kern w:val="0"/>
                <w:sz w:val="18"/>
                <w:szCs w:val="20"/>
              </w:rPr>
              <w:t>6</w:t>
            </w:r>
          </w:p>
        </w:tc>
        <w:tc>
          <w:tcPr>
            <w:tcW w:w="76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ascii="宋体" w:hAnsi="宋体" w:cs="宋体"/>
                <w:color w:val="000000"/>
                <w:kern w:val="0"/>
                <w:sz w:val="18"/>
                <w:szCs w:val="20"/>
              </w:rPr>
            </w:pP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数据解读</w:t>
            </w:r>
          </w:p>
        </w:tc>
        <w:tc>
          <w:tcPr>
            <w:tcW w:w="16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统计数据发布后的</w:t>
            </w:r>
          </w:p>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配套解读</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《中华人民共和国统计法》《中华人民共和国政府信息公开条例》《中华人民共和国统计法实施条例》</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适时发布</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lang w:val="en-US" w:eastAsia="zh-CN"/>
              </w:rPr>
              <w:t>各县（市、区）统计局</w:t>
            </w:r>
          </w:p>
        </w:tc>
        <w:tc>
          <w:tcPr>
            <w:tcW w:w="2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■政府网站  ■政府公报</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■两微一端  ■发布会/听证会   ■广播电视  ■纸质媒体           □公开查阅点□政务服务中心</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□便民服务站□入户/现场</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□社区/企事业单位/村公示栏（电子屏）</w:t>
            </w:r>
          </w:p>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 xml:space="preserve">□精准推送  □其他    </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20"/>
              </w:rPr>
            </w:pPr>
            <w:r>
              <w:rPr>
                <w:rFonts w:hint="eastAsia" w:ascii="宋体" w:hAnsi="宋体" w:cs="宋体"/>
                <w:color w:val="000000"/>
                <w:kern w:val="0"/>
                <w:sz w:val="18"/>
                <w:szCs w:val="20"/>
              </w:rPr>
              <w:t>√</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20"/>
              </w:rPr>
            </w:pPr>
          </w:p>
        </w:tc>
      </w:tr>
      <w:tr>
        <w:tblPrEx>
          <w:tblCellMar>
            <w:top w:w="0" w:type="dxa"/>
            <w:left w:w="108" w:type="dxa"/>
            <w:bottom w:w="0" w:type="dxa"/>
            <w:right w:w="108" w:type="dxa"/>
          </w:tblCellMar>
        </w:tblPrEx>
        <w:trPr>
          <w:trHeight w:val="4063"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宋体" w:hAnsi="宋体" w:cs="宋体"/>
                <w:color w:val="000000"/>
                <w:kern w:val="0"/>
                <w:sz w:val="18"/>
                <w:szCs w:val="20"/>
              </w:rPr>
            </w:pPr>
            <w:r>
              <w:rPr>
                <w:rFonts w:hint="eastAsia" w:ascii="宋体" w:hAnsi="宋体" w:cs="宋体"/>
                <w:color w:val="000000"/>
                <w:kern w:val="0"/>
                <w:sz w:val="18"/>
                <w:szCs w:val="20"/>
              </w:rPr>
              <w:t>7</w:t>
            </w:r>
          </w:p>
        </w:tc>
        <w:tc>
          <w:tcPr>
            <w:tcW w:w="769" w:type="dxa"/>
            <w:vMerge w:val="restart"/>
            <w:tcBorders>
              <w:top w:val="single" w:color="000000" w:sz="4" w:space="0"/>
              <w:left w:val="single" w:color="000000" w:sz="4" w:space="0"/>
              <w:right w:val="single" w:color="000000" w:sz="4" w:space="0"/>
            </w:tcBorders>
            <w:noWrap w:val="0"/>
            <w:vAlign w:val="center"/>
          </w:tcPr>
          <w:p>
            <w:pPr>
              <w:widowControl/>
              <w:spacing w:line="40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统计</w:t>
            </w:r>
          </w:p>
          <w:p>
            <w:pPr>
              <w:widowControl/>
              <w:spacing w:line="400" w:lineRule="exact"/>
              <w:jc w:val="center"/>
              <w:rPr>
                <w:rFonts w:hint="eastAsia" w:ascii="宋体" w:hAnsi="宋体" w:eastAsia="宋体" w:cs="宋体"/>
                <w:color w:val="000000"/>
                <w:kern w:val="0"/>
                <w:sz w:val="18"/>
                <w:szCs w:val="20"/>
                <w:lang w:eastAsia="zh-CN"/>
              </w:rPr>
            </w:pPr>
            <w:r>
              <w:rPr>
                <w:rFonts w:hint="eastAsia" w:ascii="宋体" w:hAnsi="宋体" w:cs="宋体"/>
                <w:color w:val="000000"/>
                <w:kern w:val="0"/>
                <w:sz w:val="18"/>
                <w:szCs w:val="20"/>
              </w:rPr>
              <w:t>执法</w:t>
            </w:r>
          </w:p>
          <w:p>
            <w:pPr>
              <w:widowControl/>
              <w:spacing w:line="40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监督</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宋体" w:hAnsi="宋体" w:eastAsia="宋体" w:cs="宋体"/>
                <w:color w:val="000000"/>
                <w:kern w:val="0"/>
                <w:sz w:val="18"/>
                <w:szCs w:val="20"/>
                <w:lang w:eastAsia="zh-CN"/>
              </w:rPr>
            </w:pPr>
            <w:r>
              <w:rPr>
                <w:rFonts w:hint="eastAsia" w:ascii="宋体" w:hAnsi="宋体" w:cs="宋体"/>
                <w:color w:val="000000"/>
                <w:kern w:val="0"/>
                <w:sz w:val="18"/>
                <w:szCs w:val="20"/>
              </w:rPr>
              <w:t>行政处罚</w:t>
            </w:r>
          </w:p>
          <w:p>
            <w:pPr>
              <w:widowControl/>
              <w:spacing w:line="40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信息公示</w:t>
            </w:r>
          </w:p>
        </w:tc>
        <w:tc>
          <w:tcPr>
            <w:tcW w:w="16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rPr>
                <w:rFonts w:hint="eastAsia" w:ascii="宋体" w:hAnsi="宋体" w:eastAsia="宋体" w:cs="宋体"/>
                <w:color w:val="000000"/>
                <w:kern w:val="0"/>
                <w:sz w:val="18"/>
                <w:szCs w:val="20"/>
                <w:lang w:eastAsia="zh-CN"/>
              </w:rPr>
            </w:pPr>
            <w:r>
              <w:rPr>
                <w:rFonts w:hint="eastAsia" w:ascii="宋体" w:hAnsi="宋体" w:cs="宋体"/>
                <w:color w:val="000000"/>
                <w:kern w:val="0"/>
                <w:sz w:val="18"/>
                <w:szCs w:val="20"/>
              </w:rPr>
              <w:t>1.统计行政处罚对象基本信息；</w:t>
            </w:r>
          </w:p>
          <w:p>
            <w:pPr>
              <w:widowControl/>
              <w:spacing w:line="400" w:lineRule="exact"/>
              <w:rPr>
                <w:rFonts w:hint="eastAsia" w:ascii="宋体" w:hAnsi="宋体" w:eastAsia="宋体" w:cs="宋体"/>
                <w:color w:val="000000"/>
                <w:kern w:val="0"/>
                <w:sz w:val="18"/>
                <w:szCs w:val="20"/>
                <w:lang w:eastAsia="zh-CN"/>
              </w:rPr>
            </w:pPr>
            <w:r>
              <w:rPr>
                <w:rFonts w:hint="eastAsia" w:ascii="宋体" w:hAnsi="宋体" w:cs="宋体"/>
                <w:color w:val="000000"/>
                <w:kern w:val="0"/>
                <w:sz w:val="18"/>
                <w:szCs w:val="20"/>
              </w:rPr>
              <w:t>2.统计违法事实；</w:t>
            </w:r>
          </w:p>
          <w:p>
            <w:pPr>
              <w:widowControl/>
              <w:spacing w:line="400" w:lineRule="exact"/>
              <w:rPr>
                <w:rFonts w:hint="eastAsia" w:ascii="宋体" w:hAnsi="宋体" w:eastAsia="宋体" w:cs="宋体"/>
                <w:color w:val="000000"/>
                <w:kern w:val="0"/>
                <w:sz w:val="18"/>
                <w:szCs w:val="20"/>
                <w:lang w:eastAsia="zh-CN"/>
              </w:rPr>
            </w:pPr>
            <w:r>
              <w:rPr>
                <w:rFonts w:hint="eastAsia" w:ascii="宋体" w:hAnsi="宋体" w:cs="宋体"/>
                <w:color w:val="000000"/>
                <w:kern w:val="0"/>
                <w:sz w:val="18"/>
                <w:szCs w:val="20"/>
              </w:rPr>
              <w:t>3.依法处罚情况；</w:t>
            </w:r>
          </w:p>
          <w:p>
            <w:pPr>
              <w:widowControl/>
              <w:spacing w:line="400" w:lineRule="exact"/>
              <w:rPr>
                <w:rFonts w:hint="eastAsia" w:ascii="宋体" w:hAnsi="宋体" w:cs="宋体"/>
                <w:color w:val="000000"/>
                <w:kern w:val="0"/>
                <w:sz w:val="18"/>
                <w:szCs w:val="20"/>
              </w:rPr>
            </w:pPr>
            <w:r>
              <w:rPr>
                <w:rFonts w:hint="eastAsia" w:ascii="宋体" w:hAnsi="宋体" w:cs="宋体"/>
                <w:color w:val="000000"/>
                <w:kern w:val="0"/>
                <w:sz w:val="18"/>
                <w:szCs w:val="20"/>
              </w:rPr>
              <w:t>4.其他相关信息。</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hint="eastAsia" w:ascii="宋体" w:hAnsi="宋体" w:cs="宋体"/>
                <w:color w:val="000000"/>
                <w:kern w:val="0"/>
                <w:sz w:val="18"/>
                <w:szCs w:val="20"/>
              </w:rPr>
            </w:pPr>
            <w:r>
              <w:rPr>
                <w:rFonts w:hint="eastAsia" w:ascii="宋体" w:hAnsi="宋体" w:cs="宋体"/>
                <w:color w:val="000000"/>
                <w:kern w:val="0"/>
                <w:sz w:val="18"/>
                <w:szCs w:val="20"/>
              </w:rPr>
              <w:t>《中华人民共和国行政处罚法》《中华人民共和国统计法》《中华人民共和国政府信息公开条例》《中华人民共和国统计法实施条例》《统计执法监督检查办法》《国家发展改革委办公厅关于进一步完善行政许可和行政处罚等信用信息公示工作的指导意见》</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适时公开</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rPr>
                <w:rFonts w:hint="eastAsia" w:ascii="宋体" w:hAnsi="宋体" w:cs="宋体"/>
                <w:color w:val="000000"/>
                <w:kern w:val="0"/>
                <w:sz w:val="18"/>
                <w:szCs w:val="20"/>
              </w:rPr>
            </w:pPr>
            <w:r>
              <w:rPr>
                <w:rFonts w:hint="eastAsia" w:ascii="宋体" w:hAnsi="宋体" w:cs="宋体"/>
                <w:color w:val="000000"/>
                <w:kern w:val="0"/>
                <w:sz w:val="18"/>
                <w:szCs w:val="20"/>
                <w:lang w:val="en-US" w:eastAsia="zh-CN"/>
              </w:rPr>
              <w:t>各县（市、区）统计局</w:t>
            </w:r>
          </w:p>
        </w:tc>
        <w:tc>
          <w:tcPr>
            <w:tcW w:w="2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■政府网站  □政府公报</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□两微一端  □发布会/听证会   □广播电视  □纸质媒体           □公开查阅点□政务服务中心</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□便民服务站□入户/现场</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□社区/企事业单位/村公示栏（电子屏）</w:t>
            </w:r>
          </w:p>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 xml:space="preserve">□精准推送  ■其他（地方信用门户网站或信用中国网站）    </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宋体" w:hAnsi="宋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宋体" w:hAnsi="宋体" w:cs="宋体"/>
                <w:color w:val="000000"/>
                <w:kern w:val="0"/>
                <w:sz w:val="18"/>
                <w:szCs w:val="20"/>
              </w:rPr>
            </w:pPr>
            <w:r>
              <w:rPr>
                <w:rFonts w:hint="eastAsia" w:ascii="宋体" w:hAnsi="宋体" w:cs="宋体"/>
                <w:color w:val="000000"/>
                <w:kern w:val="0"/>
                <w:sz w:val="18"/>
                <w:szCs w:val="20"/>
              </w:rPr>
              <w:t>√</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宋体" w:hAnsi="宋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宋体" w:hAnsi="宋体" w:cs="宋体"/>
                <w:color w:val="000000"/>
                <w:kern w:val="0"/>
                <w:sz w:val="18"/>
                <w:szCs w:val="20"/>
              </w:rPr>
            </w:pPr>
          </w:p>
        </w:tc>
      </w:tr>
      <w:tr>
        <w:tblPrEx>
          <w:tblCellMar>
            <w:top w:w="0" w:type="dxa"/>
            <w:left w:w="108" w:type="dxa"/>
            <w:bottom w:w="0" w:type="dxa"/>
            <w:right w:w="108" w:type="dxa"/>
          </w:tblCellMar>
        </w:tblPrEx>
        <w:trPr>
          <w:trHeight w:val="3524"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宋体" w:hAnsi="宋体" w:cs="宋体"/>
                <w:color w:val="000000"/>
                <w:kern w:val="0"/>
                <w:sz w:val="18"/>
                <w:szCs w:val="20"/>
              </w:rPr>
            </w:pPr>
            <w:r>
              <w:rPr>
                <w:rFonts w:hint="eastAsia" w:ascii="宋体" w:hAnsi="宋体" w:cs="宋体"/>
                <w:color w:val="000000"/>
                <w:kern w:val="0"/>
                <w:sz w:val="18"/>
                <w:szCs w:val="20"/>
              </w:rPr>
              <w:t>8</w:t>
            </w:r>
          </w:p>
        </w:tc>
        <w:tc>
          <w:tcPr>
            <w:tcW w:w="769" w:type="dxa"/>
            <w:vMerge w:val="continue"/>
            <w:tcBorders>
              <w:left w:val="single" w:color="000000" w:sz="4" w:space="0"/>
              <w:bottom w:val="single" w:color="000000" w:sz="4" w:space="0"/>
              <w:right w:val="single" w:color="000000" w:sz="4" w:space="0"/>
            </w:tcBorders>
            <w:noWrap w:val="0"/>
            <w:vAlign w:val="center"/>
          </w:tcPr>
          <w:p>
            <w:pPr>
              <w:widowControl/>
              <w:spacing w:line="400" w:lineRule="exact"/>
              <w:jc w:val="left"/>
              <w:rPr>
                <w:rFonts w:ascii="宋体" w:hAnsi="宋体" w:cs="宋体"/>
                <w:color w:val="000000"/>
                <w:kern w:val="0"/>
                <w:sz w:val="18"/>
                <w:szCs w:val="20"/>
              </w:rPr>
            </w:pP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“双随机”抽查</w:t>
            </w:r>
          </w:p>
        </w:tc>
        <w:tc>
          <w:tcPr>
            <w:tcW w:w="16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rPr>
                <w:rFonts w:hint="eastAsia" w:ascii="宋体" w:hAnsi="宋体" w:cs="宋体"/>
                <w:color w:val="000000"/>
                <w:kern w:val="0"/>
                <w:sz w:val="18"/>
                <w:szCs w:val="20"/>
              </w:rPr>
            </w:pPr>
            <w:r>
              <w:rPr>
                <w:rFonts w:hint="eastAsia" w:ascii="宋体" w:hAnsi="宋体" w:cs="宋体"/>
                <w:color w:val="000000"/>
                <w:kern w:val="0"/>
                <w:sz w:val="18"/>
                <w:szCs w:val="20"/>
              </w:rPr>
              <w:t>统计“双随机”</w:t>
            </w:r>
          </w:p>
          <w:p>
            <w:pPr>
              <w:widowControl/>
              <w:spacing w:line="400" w:lineRule="exact"/>
              <w:rPr>
                <w:rFonts w:hint="eastAsia" w:ascii="宋体" w:hAnsi="宋体" w:cs="宋体"/>
                <w:color w:val="000000"/>
                <w:kern w:val="0"/>
                <w:sz w:val="18"/>
                <w:szCs w:val="20"/>
              </w:rPr>
            </w:pPr>
            <w:r>
              <w:rPr>
                <w:rFonts w:hint="eastAsia" w:ascii="宋体" w:hAnsi="宋体" w:cs="宋体"/>
                <w:color w:val="000000"/>
                <w:kern w:val="0"/>
                <w:sz w:val="18"/>
                <w:szCs w:val="20"/>
              </w:rPr>
              <w:t>抽查名单和结果</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rPr>
                <w:rFonts w:hint="eastAsia" w:ascii="宋体" w:hAnsi="宋体" w:cs="宋体"/>
                <w:color w:val="000000"/>
                <w:kern w:val="0"/>
                <w:sz w:val="18"/>
                <w:szCs w:val="20"/>
              </w:rPr>
            </w:pPr>
            <w:r>
              <w:rPr>
                <w:rFonts w:hint="eastAsia" w:ascii="宋体" w:hAnsi="宋体" w:cs="宋体"/>
                <w:color w:val="000000"/>
                <w:kern w:val="0"/>
                <w:sz w:val="18"/>
                <w:szCs w:val="20"/>
              </w:rPr>
              <w:t>《中华人民共和国政府信息公开条例》《国务院办公厅关于推广随机抽查规范事中事后监管的通知》《国家统计局统计执法“双随机”抽查办法（试行）》</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适时公开</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rPr>
                <w:rFonts w:hint="eastAsia" w:ascii="宋体" w:hAnsi="宋体" w:cs="宋体"/>
                <w:color w:val="000000"/>
                <w:kern w:val="0"/>
                <w:sz w:val="18"/>
                <w:szCs w:val="20"/>
              </w:rPr>
            </w:pPr>
            <w:r>
              <w:rPr>
                <w:rFonts w:hint="eastAsia" w:ascii="宋体" w:hAnsi="宋体" w:cs="宋体"/>
                <w:color w:val="000000"/>
                <w:kern w:val="0"/>
                <w:sz w:val="18"/>
                <w:szCs w:val="20"/>
                <w:lang w:val="en-US" w:eastAsia="zh-CN"/>
              </w:rPr>
              <w:t>各县（市、区）统计局</w:t>
            </w:r>
          </w:p>
        </w:tc>
        <w:tc>
          <w:tcPr>
            <w:tcW w:w="2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■政府网站  □政府公报</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■两微一端  □发布会/听证会   ■广播电视  ■纸质媒体           □公开查阅点□政务服务中心</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□便民服务站□入户/现场</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□社区/企事业单位/村公示栏（电子屏）</w:t>
            </w:r>
          </w:p>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 xml:space="preserve">□精准推送  □其他    </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宋体" w:hAnsi="宋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宋体" w:hAnsi="宋体" w:cs="宋体"/>
                <w:color w:val="000000"/>
                <w:kern w:val="0"/>
                <w:sz w:val="18"/>
                <w:szCs w:val="20"/>
              </w:rPr>
            </w:pPr>
            <w:r>
              <w:rPr>
                <w:rFonts w:hint="eastAsia" w:ascii="宋体" w:hAnsi="宋体" w:cs="宋体"/>
                <w:color w:val="000000"/>
                <w:kern w:val="0"/>
                <w:sz w:val="18"/>
                <w:szCs w:val="20"/>
              </w:rPr>
              <w:t>√</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宋体" w:hAnsi="宋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宋体" w:hAnsi="宋体" w:cs="宋体"/>
                <w:color w:val="000000"/>
                <w:kern w:val="0"/>
                <w:sz w:val="18"/>
                <w:szCs w:val="20"/>
              </w:rPr>
            </w:pPr>
          </w:p>
        </w:tc>
      </w:tr>
      <w:tr>
        <w:tblPrEx>
          <w:tblCellMar>
            <w:top w:w="0" w:type="dxa"/>
            <w:left w:w="108" w:type="dxa"/>
            <w:bottom w:w="0" w:type="dxa"/>
            <w:right w:w="108" w:type="dxa"/>
          </w:tblCellMar>
        </w:tblPrEx>
        <w:trPr>
          <w:trHeight w:val="4117"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宋体" w:hAnsi="宋体" w:cs="宋体"/>
                <w:color w:val="000000"/>
                <w:kern w:val="0"/>
                <w:sz w:val="18"/>
                <w:szCs w:val="20"/>
              </w:rPr>
            </w:pPr>
            <w:r>
              <w:rPr>
                <w:rFonts w:hint="eastAsia" w:ascii="宋体" w:hAnsi="宋体" w:cs="宋体"/>
                <w:color w:val="000000"/>
                <w:kern w:val="0"/>
                <w:sz w:val="18"/>
                <w:szCs w:val="20"/>
              </w:rPr>
              <w:t>9</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统计</w:t>
            </w:r>
          </w:p>
          <w:p>
            <w:pPr>
              <w:widowControl/>
              <w:spacing w:line="400" w:lineRule="exact"/>
              <w:jc w:val="center"/>
              <w:rPr>
                <w:rFonts w:hint="eastAsia" w:ascii="宋体" w:hAnsi="宋体" w:eastAsia="宋体" w:cs="宋体"/>
                <w:color w:val="000000"/>
                <w:kern w:val="0"/>
                <w:sz w:val="18"/>
                <w:szCs w:val="20"/>
                <w:lang w:eastAsia="zh-CN"/>
              </w:rPr>
            </w:pPr>
            <w:r>
              <w:rPr>
                <w:rFonts w:hint="eastAsia" w:ascii="宋体" w:hAnsi="宋体" w:cs="宋体"/>
                <w:color w:val="000000"/>
                <w:kern w:val="0"/>
                <w:sz w:val="18"/>
                <w:szCs w:val="20"/>
              </w:rPr>
              <w:t>执法</w:t>
            </w:r>
          </w:p>
          <w:p>
            <w:pPr>
              <w:widowControl/>
              <w:spacing w:line="400" w:lineRule="exact"/>
              <w:jc w:val="center"/>
              <w:rPr>
                <w:rFonts w:ascii="宋体" w:hAnsi="宋体" w:cs="宋体"/>
                <w:color w:val="000000"/>
                <w:kern w:val="0"/>
                <w:sz w:val="18"/>
                <w:szCs w:val="20"/>
              </w:rPr>
            </w:pPr>
            <w:r>
              <w:rPr>
                <w:rFonts w:hint="eastAsia" w:ascii="宋体" w:hAnsi="宋体" w:cs="宋体"/>
                <w:color w:val="000000"/>
                <w:kern w:val="0"/>
                <w:sz w:val="18"/>
                <w:szCs w:val="20"/>
              </w:rPr>
              <w:t>监督</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统计</w:t>
            </w:r>
          </w:p>
          <w:p>
            <w:pPr>
              <w:widowControl/>
              <w:spacing w:line="400" w:lineRule="exact"/>
              <w:jc w:val="center"/>
              <w:rPr>
                <w:rFonts w:hint="eastAsia" w:ascii="宋体" w:hAnsi="宋体" w:eastAsia="宋体" w:cs="宋体"/>
                <w:color w:val="000000"/>
                <w:kern w:val="0"/>
                <w:sz w:val="18"/>
                <w:szCs w:val="20"/>
                <w:lang w:eastAsia="zh-CN"/>
              </w:rPr>
            </w:pPr>
            <w:r>
              <w:rPr>
                <w:rFonts w:hint="eastAsia" w:ascii="宋体" w:hAnsi="宋体" w:cs="宋体"/>
                <w:color w:val="000000"/>
                <w:kern w:val="0"/>
                <w:sz w:val="18"/>
                <w:szCs w:val="20"/>
              </w:rPr>
              <w:t>严重失信</w:t>
            </w:r>
          </w:p>
          <w:p>
            <w:pPr>
              <w:widowControl/>
              <w:spacing w:line="40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企业公示</w:t>
            </w:r>
          </w:p>
        </w:tc>
        <w:tc>
          <w:tcPr>
            <w:tcW w:w="16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rPr>
                <w:rFonts w:hint="eastAsia" w:ascii="宋体" w:hAnsi="宋体" w:eastAsia="宋体" w:cs="宋体"/>
                <w:color w:val="000000"/>
                <w:kern w:val="0"/>
                <w:sz w:val="18"/>
                <w:szCs w:val="20"/>
                <w:lang w:eastAsia="zh-CN"/>
              </w:rPr>
            </w:pPr>
            <w:r>
              <w:rPr>
                <w:rFonts w:hint="eastAsia" w:ascii="宋体" w:hAnsi="宋体" w:cs="宋体"/>
                <w:color w:val="000000"/>
                <w:kern w:val="0"/>
                <w:sz w:val="18"/>
                <w:szCs w:val="20"/>
              </w:rPr>
              <w:t>1.统计严重失信企业基本信息；</w:t>
            </w:r>
          </w:p>
          <w:p>
            <w:pPr>
              <w:widowControl/>
              <w:spacing w:line="400" w:lineRule="exact"/>
              <w:rPr>
                <w:rFonts w:hint="eastAsia" w:ascii="宋体" w:hAnsi="宋体" w:eastAsia="宋体" w:cs="宋体"/>
                <w:color w:val="000000"/>
                <w:kern w:val="0"/>
                <w:sz w:val="18"/>
                <w:szCs w:val="20"/>
                <w:lang w:eastAsia="zh-CN"/>
              </w:rPr>
            </w:pPr>
            <w:r>
              <w:rPr>
                <w:rFonts w:hint="eastAsia" w:ascii="宋体" w:hAnsi="宋体" w:cs="宋体"/>
                <w:color w:val="000000"/>
                <w:kern w:val="0"/>
                <w:sz w:val="18"/>
                <w:szCs w:val="20"/>
              </w:rPr>
              <w:t>2.统计违法行为；</w:t>
            </w:r>
          </w:p>
          <w:p>
            <w:pPr>
              <w:widowControl/>
              <w:spacing w:line="400" w:lineRule="exact"/>
              <w:rPr>
                <w:rFonts w:hint="eastAsia" w:ascii="宋体" w:hAnsi="宋体" w:eastAsia="宋体" w:cs="宋体"/>
                <w:color w:val="000000"/>
                <w:kern w:val="0"/>
                <w:sz w:val="18"/>
                <w:szCs w:val="20"/>
                <w:lang w:eastAsia="zh-CN"/>
              </w:rPr>
            </w:pPr>
            <w:r>
              <w:rPr>
                <w:rFonts w:hint="eastAsia" w:ascii="宋体" w:hAnsi="宋体" w:cs="宋体"/>
                <w:color w:val="000000"/>
                <w:kern w:val="0"/>
                <w:sz w:val="18"/>
                <w:szCs w:val="20"/>
              </w:rPr>
              <w:t>3.依法处理情况；</w:t>
            </w:r>
          </w:p>
          <w:p>
            <w:pPr>
              <w:widowControl/>
              <w:spacing w:line="400" w:lineRule="exact"/>
              <w:rPr>
                <w:rFonts w:hint="eastAsia" w:ascii="宋体" w:hAnsi="宋体" w:cs="宋体"/>
                <w:color w:val="000000"/>
                <w:kern w:val="0"/>
                <w:sz w:val="18"/>
                <w:szCs w:val="20"/>
              </w:rPr>
            </w:pPr>
            <w:r>
              <w:rPr>
                <w:rFonts w:hint="eastAsia" w:ascii="宋体" w:hAnsi="宋体" w:cs="宋体"/>
                <w:color w:val="000000"/>
                <w:kern w:val="0"/>
                <w:sz w:val="18"/>
                <w:szCs w:val="20"/>
              </w:rPr>
              <w:t>4.其他相关信息。</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rPr>
                <w:rFonts w:hint="eastAsia" w:ascii="宋体" w:hAnsi="宋体" w:cs="宋体"/>
                <w:color w:val="000000"/>
                <w:kern w:val="0"/>
                <w:sz w:val="18"/>
                <w:szCs w:val="20"/>
              </w:rPr>
            </w:pPr>
            <w:r>
              <w:rPr>
                <w:rFonts w:hint="eastAsia" w:ascii="宋体" w:hAnsi="宋体" w:cs="宋体"/>
                <w:color w:val="000000"/>
                <w:kern w:val="0"/>
                <w:sz w:val="18"/>
                <w:szCs w:val="20"/>
              </w:rPr>
              <w:t>《国务院办公厅关于进一步完善失信约束制度构建诚信建设长效机制的指导意见》《统计严重失信企业信用管理办法》</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适时公开</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rPr>
                <w:rFonts w:hint="eastAsia" w:ascii="宋体" w:hAnsi="宋体" w:cs="宋体"/>
                <w:color w:val="000000"/>
                <w:kern w:val="0"/>
                <w:sz w:val="18"/>
                <w:szCs w:val="20"/>
              </w:rPr>
            </w:pPr>
            <w:r>
              <w:rPr>
                <w:rFonts w:hint="eastAsia" w:ascii="宋体" w:hAnsi="宋体" w:cs="宋体"/>
                <w:color w:val="000000"/>
                <w:kern w:val="0"/>
                <w:sz w:val="18"/>
                <w:szCs w:val="20"/>
                <w:lang w:val="en-US" w:eastAsia="zh-CN"/>
              </w:rPr>
              <w:t>各县（市、区）统计局</w:t>
            </w:r>
          </w:p>
        </w:tc>
        <w:tc>
          <w:tcPr>
            <w:tcW w:w="2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■政府网站  □政府公报</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□两微一端  □发布会/听证会   □广播电视  □纸质媒体           □公开查阅点□政务服务中心</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□便民服务站□入户/现场</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□社区/企事业单位/村公示栏（电子屏）</w:t>
            </w:r>
          </w:p>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 xml:space="preserve">□精准推送  ■其他（地方信用门户网站或信用中国网站）    </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宋体" w:hAnsi="宋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宋体" w:hAnsi="宋体" w:cs="宋体"/>
                <w:color w:val="000000"/>
                <w:kern w:val="0"/>
                <w:sz w:val="18"/>
                <w:szCs w:val="20"/>
              </w:rPr>
            </w:pPr>
            <w:r>
              <w:rPr>
                <w:rFonts w:hint="eastAsia" w:ascii="宋体" w:hAnsi="宋体" w:cs="宋体"/>
                <w:color w:val="000000"/>
                <w:kern w:val="0"/>
                <w:sz w:val="18"/>
                <w:szCs w:val="20"/>
              </w:rPr>
              <w:t>√</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宋体" w:hAnsi="宋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宋体" w:hAnsi="宋体" w:cs="宋体"/>
                <w:color w:val="000000"/>
                <w:kern w:val="0"/>
                <w:sz w:val="18"/>
                <w:szCs w:val="20"/>
              </w:rPr>
            </w:pPr>
          </w:p>
        </w:tc>
      </w:tr>
    </w:tbl>
    <w:p/>
    <w:sectPr>
      <w:pgSz w:w="16838" w:h="11906" w:orient="landscape"/>
      <w:pgMar w:top="1689" w:right="1440" w:bottom="1689"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wordWrap w:val="0"/>
                            <w:jc w:val="right"/>
                          </w:pP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w:t>
                          </w:r>
                          <w:r>
                            <w:rPr>
                              <w:rFonts w:ascii="宋体" w:hAnsi="宋体"/>
                              <w:sz w:val="28"/>
                            </w:rPr>
                            <w:t xml:space="preserve"> 7 -</w:t>
                          </w:r>
                          <w:r>
                            <w:rPr>
                              <w:rFonts w:ascii="宋体" w:hAnsi="宋体"/>
                              <w:sz w:val="28"/>
                            </w:rPr>
                            <w:fldChar w:fldCharType="end"/>
                          </w:r>
                          <w:r>
                            <w:rPr>
                              <w:rFonts w:ascii="宋体" w:hAnsi="宋体"/>
                              <w:sz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wordWrap w:val="0"/>
                      <w:jc w:val="right"/>
                    </w:pP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w:t>
                    </w:r>
                    <w:r>
                      <w:rPr>
                        <w:rFonts w:ascii="宋体" w:hAnsi="宋体"/>
                        <w:sz w:val="28"/>
                      </w:rPr>
                      <w:t xml:space="preserve"> 7 -</w:t>
                    </w:r>
                    <w:r>
                      <w:rPr>
                        <w:rFonts w:ascii="宋体" w:hAnsi="宋体"/>
                        <w:sz w:val="28"/>
                      </w:rPr>
                      <w:fldChar w:fldCharType="end"/>
                    </w:r>
                    <w:r>
                      <w:rPr>
                        <w:rFonts w:ascii="宋体" w:hAnsi="宋体"/>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8 -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yNjZkMjFmMjk1MWFhY2JiMjUxZDYyODJmZWZlMWYifQ=="/>
  </w:docVars>
  <w:rsids>
    <w:rsidRoot w:val="6E3238D8"/>
    <w:rsid w:val="102B4D73"/>
    <w:rsid w:val="174817E0"/>
    <w:rsid w:val="1B606836"/>
    <w:rsid w:val="62EF64B1"/>
    <w:rsid w:val="66094C98"/>
    <w:rsid w:val="6E3238D8"/>
    <w:rsid w:val="701D6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2883</Words>
  <Characters>2907</Characters>
  <Lines>0</Lines>
  <Paragraphs>0</Paragraphs>
  <TotalTime>1</TotalTime>
  <ScaleCrop>false</ScaleCrop>
  <LinksUpToDate>false</LinksUpToDate>
  <CharactersWithSpaces>3135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2022-12-13T03:11:00Z</dcterms:created>
  <dc:creator>炳炳</dc:creator>
  <cp:lastModifiedBy>炳炳</cp:lastModifiedBy>
  <dcterms:modified xsi:type="dcterms:W3CDTF">2023-02-17T02:00:18Z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AF85B9304D764D01AE957885FE9B9E64</vt:lpwstr>
  </property>
</Properties>
</file>